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373DC88E" w:rsidR="001A3808" w:rsidRPr="008A0124" w:rsidRDefault="001E0B53" w:rsidP="001A3808">
                            <w:pPr>
                              <w:rPr>
                                <w:rFonts w:ascii="Arial" w:hAnsi="Arial" w:cs="Arial"/>
                                <w:b/>
                                <w:sz w:val="52"/>
                                <w:szCs w:val="52"/>
                              </w:rPr>
                            </w:pPr>
                            <w:r w:rsidRPr="001E0B53">
                              <w:rPr>
                                <w:rFonts w:ascii="Arial" w:hAnsi="Arial" w:cs="Arial"/>
                                <w:b/>
                                <w:sz w:val="52"/>
                                <w:szCs w:val="52"/>
                              </w:rPr>
                              <w:t xml:space="preserve">The Greening of </w:t>
                            </w:r>
                            <w:proofErr w:type="gramStart"/>
                            <w:r w:rsidRPr="001E0B53">
                              <w:rPr>
                                <w:rFonts w:ascii="Arial" w:hAnsi="Arial" w:cs="Arial"/>
                                <w:b/>
                                <w:sz w:val="52"/>
                                <w:szCs w:val="52"/>
                              </w:rPr>
                              <w:t xml:space="preserve">Buildings, </w:t>
                            </w:r>
                            <w:r>
                              <w:rPr>
                                <w:rFonts w:ascii="Arial" w:hAnsi="Arial" w:cs="Arial"/>
                                <w:b/>
                                <w:sz w:val="52"/>
                                <w:szCs w:val="52"/>
                              </w:rPr>
                              <w:t xml:space="preserve">  </w:t>
                            </w:r>
                            <w:proofErr w:type="gramEnd"/>
                            <w:r w:rsidRPr="001E0B53">
                              <w:rPr>
                                <w:rFonts w:ascii="Arial" w:hAnsi="Arial" w:cs="Arial"/>
                                <w:b/>
                                <w:sz w:val="52"/>
                                <w:szCs w:val="52"/>
                              </w:rPr>
                              <w:t>2013-2025</w:t>
                            </w:r>
                            <w:r w:rsidR="001A3808" w:rsidRPr="008A0124">
                              <w:rPr>
                                <w:rFonts w:ascii="Arial" w:hAnsi="Arial" w:cs="Arial"/>
                                <w:b/>
                                <w:sz w:val="52"/>
                                <w:szCs w:val="52"/>
                              </w:rPr>
                              <w:br/>
                            </w:r>
                          </w:p>
                          <w:p w14:paraId="7E3A7DAA" w14:textId="2BF20BB5" w:rsidR="001A3808" w:rsidRDefault="001E0B53" w:rsidP="001A3808">
                            <w:pPr>
                              <w:rPr>
                                <w:rFonts w:ascii="Arial" w:hAnsi="Arial" w:cs="Arial"/>
                                <w:sz w:val="24"/>
                                <w:szCs w:val="24"/>
                              </w:rPr>
                            </w:pPr>
                            <w:r w:rsidRPr="001E0B53">
                              <w:rPr>
                                <w:rFonts w:ascii="Arial" w:hAnsi="Arial" w:cs="Arial"/>
                                <w:b/>
                                <w:sz w:val="36"/>
                                <w:szCs w:val="36"/>
                              </w:rPr>
                              <w:t>Robert H. Knapp Jr.</w:t>
                            </w:r>
                            <w:r w:rsidR="001A3808">
                              <w:rPr>
                                <w:rFonts w:ascii="Arial" w:hAnsi="Arial" w:cs="Arial"/>
                                <w:sz w:val="24"/>
                                <w:szCs w:val="24"/>
                              </w:rPr>
                              <w:br/>
                            </w:r>
                            <w:r w:rsidRPr="001E0B53">
                              <w:rPr>
                                <w:rFonts w:ascii="Arial" w:hAnsi="Arial" w:cs="Arial"/>
                                <w:sz w:val="28"/>
                                <w:szCs w:val="28"/>
                              </w:rPr>
                              <w:t>Evergreen State College</w:t>
                            </w:r>
                            <w:r w:rsidR="001A3808">
                              <w:rPr>
                                <w:rFonts w:ascii="Arial" w:hAnsi="Arial" w:cs="Arial"/>
                                <w:sz w:val="24"/>
                                <w:szCs w:val="24"/>
                              </w:rPr>
                              <w:br/>
                            </w:r>
                          </w:p>
                          <w:p w14:paraId="24F3E489" w14:textId="5BE21E08" w:rsidR="001A3808" w:rsidRPr="00995FFC" w:rsidRDefault="001E0B53" w:rsidP="001A3808">
                            <w:pPr>
                              <w:rPr>
                                <w:rFonts w:ascii="Arial" w:hAnsi="Arial" w:cs="Arial"/>
                                <w:sz w:val="36"/>
                                <w:szCs w:val="36"/>
                              </w:rPr>
                            </w:pPr>
                            <w:r>
                              <w:rPr>
                                <w:rFonts w:ascii="Arial" w:hAnsi="Arial" w:cs="Arial"/>
                                <w:b/>
                                <w:sz w:val="36"/>
                                <w:szCs w:val="36"/>
                              </w:rPr>
                              <w:t>September 11</w:t>
                            </w:r>
                            <w:r w:rsidR="00DB6F28">
                              <w:rPr>
                                <w:rFonts w:ascii="Arial" w:hAnsi="Arial" w:cs="Arial"/>
                                <w:b/>
                                <w:sz w:val="36"/>
                                <w:szCs w:val="36"/>
                              </w:rPr>
                              <w:t>, 2019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2C6B5605" w14:textId="1A06202E" w:rsidR="0095788F" w:rsidRDefault="001E0B53" w:rsidP="0095788F">
                            <w:pPr>
                              <w:rPr>
                                <w:rFonts w:ascii="Arial" w:hAnsi="Arial" w:cs="Arial"/>
                                <w:sz w:val="24"/>
                                <w:szCs w:val="24"/>
                              </w:rPr>
                            </w:pPr>
                            <w:r w:rsidRPr="001E0B53">
                              <w:rPr>
                                <w:rFonts w:ascii="Arial" w:hAnsi="Arial" w:cs="Arial"/>
                                <w:sz w:val="24"/>
                                <w:szCs w:val="24"/>
                              </w:rPr>
                              <w:t>The building sector is a key locus for promoting sustainability, given that it accounts for more than 40% of US energy use and a similar proportion of greenhouse gas emissions. Recent activity has centered on the “net-zero” target—buildings producing more energy each year than they use. 2013 saw the opening of Seattle’s Bullitt Center, a six-story net-zero office building in the cloudiest US city. After outlining the combination of technical and organizational moves responsible for this landmark and its several cousins, the talk will address the near future: what are technical and social prospects and limits for sustainable energy and materials use in buildings? Three specific inventions would make a difference.</w:t>
                            </w:r>
                          </w:p>
                          <w:p w14:paraId="780D39D5" w14:textId="77777777" w:rsidR="001E0B53" w:rsidRDefault="001E0B53" w:rsidP="0095788F">
                            <w:pPr>
                              <w:rPr>
                                <w:rFonts w:ascii="Arial" w:hAnsi="Arial" w:cs="Arial"/>
                                <w:sz w:val="24"/>
                                <w:szCs w:val="24"/>
                              </w:rPr>
                            </w:pPr>
                            <w:bookmarkStart w:id="0" w:name="_GoBack"/>
                            <w:bookmarkEnd w:id="0"/>
                          </w:p>
                          <w:p w14:paraId="76456EA9" w14:textId="4BE507DC" w:rsidR="001A3808" w:rsidRPr="00663553" w:rsidRDefault="001A3808" w:rsidP="0095788F">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373DC88E" w:rsidR="001A3808" w:rsidRPr="008A0124" w:rsidRDefault="001E0B53" w:rsidP="001A3808">
                      <w:pPr>
                        <w:rPr>
                          <w:rFonts w:ascii="Arial" w:hAnsi="Arial" w:cs="Arial"/>
                          <w:b/>
                          <w:sz w:val="52"/>
                          <w:szCs w:val="52"/>
                        </w:rPr>
                      </w:pPr>
                      <w:r w:rsidRPr="001E0B53">
                        <w:rPr>
                          <w:rFonts w:ascii="Arial" w:hAnsi="Arial" w:cs="Arial"/>
                          <w:b/>
                          <w:sz w:val="52"/>
                          <w:szCs w:val="52"/>
                        </w:rPr>
                        <w:t xml:space="preserve">The Greening of </w:t>
                      </w:r>
                      <w:proofErr w:type="gramStart"/>
                      <w:r w:rsidRPr="001E0B53">
                        <w:rPr>
                          <w:rFonts w:ascii="Arial" w:hAnsi="Arial" w:cs="Arial"/>
                          <w:b/>
                          <w:sz w:val="52"/>
                          <w:szCs w:val="52"/>
                        </w:rPr>
                        <w:t xml:space="preserve">Buildings, </w:t>
                      </w:r>
                      <w:r>
                        <w:rPr>
                          <w:rFonts w:ascii="Arial" w:hAnsi="Arial" w:cs="Arial"/>
                          <w:b/>
                          <w:sz w:val="52"/>
                          <w:szCs w:val="52"/>
                        </w:rPr>
                        <w:t xml:space="preserve">  </w:t>
                      </w:r>
                      <w:proofErr w:type="gramEnd"/>
                      <w:r w:rsidRPr="001E0B53">
                        <w:rPr>
                          <w:rFonts w:ascii="Arial" w:hAnsi="Arial" w:cs="Arial"/>
                          <w:b/>
                          <w:sz w:val="52"/>
                          <w:szCs w:val="52"/>
                        </w:rPr>
                        <w:t>2013-2025</w:t>
                      </w:r>
                      <w:r w:rsidR="001A3808" w:rsidRPr="008A0124">
                        <w:rPr>
                          <w:rFonts w:ascii="Arial" w:hAnsi="Arial" w:cs="Arial"/>
                          <w:b/>
                          <w:sz w:val="52"/>
                          <w:szCs w:val="52"/>
                        </w:rPr>
                        <w:br/>
                      </w:r>
                    </w:p>
                    <w:p w14:paraId="7E3A7DAA" w14:textId="2BF20BB5" w:rsidR="001A3808" w:rsidRDefault="001E0B53" w:rsidP="001A3808">
                      <w:pPr>
                        <w:rPr>
                          <w:rFonts w:ascii="Arial" w:hAnsi="Arial" w:cs="Arial"/>
                          <w:sz w:val="24"/>
                          <w:szCs w:val="24"/>
                        </w:rPr>
                      </w:pPr>
                      <w:r w:rsidRPr="001E0B53">
                        <w:rPr>
                          <w:rFonts w:ascii="Arial" w:hAnsi="Arial" w:cs="Arial"/>
                          <w:b/>
                          <w:sz w:val="36"/>
                          <w:szCs w:val="36"/>
                        </w:rPr>
                        <w:t>Robert H. Knapp Jr.</w:t>
                      </w:r>
                      <w:r w:rsidR="001A3808">
                        <w:rPr>
                          <w:rFonts w:ascii="Arial" w:hAnsi="Arial" w:cs="Arial"/>
                          <w:sz w:val="24"/>
                          <w:szCs w:val="24"/>
                        </w:rPr>
                        <w:br/>
                      </w:r>
                      <w:r w:rsidRPr="001E0B53">
                        <w:rPr>
                          <w:rFonts w:ascii="Arial" w:hAnsi="Arial" w:cs="Arial"/>
                          <w:sz w:val="28"/>
                          <w:szCs w:val="28"/>
                        </w:rPr>
                        <w:t>Evergreen State College</w:t>
                      </w:r>
                      <w:r w:rsidR="001A3808">
                        <w:rPr>
                          <w:rFonts w:ascii="Arial" w:hAnsi="Arial" w:cs="Arial"/>
                          <w:sz w:val="24"/>
                          <w:szCs w:val="24"/>
                        </w:rPr>
                        <w:br/>
                      </w:r>
                    </w:p>
                    <w:p w14:paraId="24F3E489" w14:textId="5BE21E08" w:rsidR="001A3808" w:rsidRPr="00995FFC" w:rsidRDefault="001E0B53" w:rsidP="001A3808">
                      <w:pPr>
                        <w:rPr>
                          <w:rFonts w:ascii="Arial" w:hAnsi="Arial" w:cs="Arial"/>
                          <w:sz w:val="36"/>
                          <w:szCs w:val="36"/>
                        </w:rPr>
                      </w:pPr>
                      <w:r>
                        <w:rPr>
                          <w:rFonts w:ascii="Arial" w:hAnsi="Arial" w:cs="Arial"/>
                          <w:b/>
                          <w:sz w:val="36"/>
                          <w:szCs w:val="36"/>
                        </w:rPr>
                        <w:t>September 11</w:t>
                      </w:r>
                      <w:r w:rsidR="00DB6F28">
                        <w:rPr>
                          <w:rFonts w:ascii="Arial" w:hAnsi="Arial" w:cs="Arial"/>
                          <w:b/>
                          <w:sz w:val="36"/>
                          <w:szCs w:val="36"/>
                        </w:rPr>
                        <w:t>, 2019</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2C6B5605" w14:textId="1A06202E" w:rsidR="0095788F" w:rsidRDefault="001E0B53" w:rsidP="0095788F">
                      <w:pPr>
                        <w:rPr>
                          <w:rFonts w:ascii="Arial" w:hAnsi="Arial" w:cs="Arial"/>
                          <w:sz w:val="24"/>
                          <w:szCs w:val="24"/>
                        </w:rPr>
                      </w:pPr>
                      <w:r w:rsidRPr="001E0B53">
                        <w:rPr>
                          <w:rFonts w:ascii="Arial" w:hAnsi="Arial" w:cs="Arial"/>
                          <w:sz w:val="24"/>
                          <w:szCs w:val="24"/>
                        </w:rPr>
                        <w:t>The building sector is a key locus for promoting sustainability, given that it accounts for more than 40% of US energy use and a similar proportion of greenhouse gas emissions. Recent activity has centered on the “net-zero” target—buildings producing more energy each year than they use. 2013 saw the opening of Seattle’s Bullitt Center, a six-story net-zero office building in the cloudiest US city. After outlining the combination of technical and organizational moves responsible for this landmark and its several cousins, the talk will address the near future: what are technical and social prospects and limits for sustainable energy and materials use in buildings? Three specific inventions would make a difference.</w:t>
                      </w:r>
                    </w:p>
                    <w:p w14:paraId="780D39D5" w14:textId="77777777" w:rsidR="001E0B53" w:rsidRDefault="001E0B53" w:rsidP="0095788F">
                      <w:pPr>
                        <w:rPr>
                          <w:rFonts w:ascii="Arial" w:hAnsi="Arial" w:cs="Arial"/>
                          <w:sz w:val="24"/>
                          <w:szCs w:val="24"/>
                        </w:rPr>
                      </w:pPr>
                      <w:bookmarkStart w:id="1" w:name="_GoBack"/>
                      <w:bookmarkEnd w:id="1"/>
                    </w:p>
                    <w:p w14:paraId="76456EA9" w14:textId="4BE507DC" w:rsidR="001A3808" w:rsidRPr="00663553" w:rsidRDefault="001A3808" w:rsidP="0095788F">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1E0B53"/>
    <w:rsid w:val="00435BB6"/>
    <w:rsid w:val="004756E2"/>
    <w:rsid w:val="0053268B"/>
    <w:rsid w:val="005730E7"/>
    <w:rsid w:val="005D0C5C"/>
    <w:rsid w:val="00607047"/>
    <w:rsid w:val="00663553"/>
    <w:rsid w:val="00666EB4"/>
    <w:rsid w:val="007038EC"/>
    <w:rsid w:val="00734865"/>
    <w:rsid w:val="007359B7"/>
    <w:rsid w:val="00757025"/>
    <w:rsid w:val="00761A1A"/>
    <w:rsid w:val="0080089A"/>
    <w:rsid w:val="0095788F"/>
    <w:rsid w:val="00B12FB6"/>
    <w:rsid w:val="00B1480B"/>
    <w:rsid w:val="00CB4148"/>
    <w:rsid w:val="00DB6F28"/>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51EB-B4AF-EC4F-84BD-EF73C2F8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2019-07-23T15:19:00Z</cp:lastPrinted>
  <dcterms:created xsi:type="dcterms:W3CDTF">2019-08-26T16:37:00Z</dcterms:created>
  <dcterms:modified xsi:type="dcterms:W3CDTF">2019-08-26T16:40:00Z</dcterms:modified>
</cp:coreProperties>
</file>